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after="0" w:line="360" w:lineRule="auto"/>
        <w:rPr>
          <w:rFonts w:ascii="Verdana" w:cs="Verdana" w:eastAsia="Verdana" w:hAnsi="Verdana"/>
          <w:b w:val="1"/>
        </w:rPr>
      </w:pPr>
      <w:r w:rsidDel="00000000" w:rsidR="00000000" w:rsidRPr="00000000">
        <w:rPr>
          <w:rtl w:val="0"/>
        </w:rPr>
      </w:r>
    </w:p>
    <w:p w:rsidR="00000000" w:rsidDel="00000000" w:rsidP="00000000" w:rsidRDefault="00000000" w:rsidRPr="00000000" w14:paraId="00000002">
      <w:pPr>
        <w:spacing w:after="0" w:line="360" w:lineRule="auto"/>
        <w:rPr>
          <w:rFonts w:ascii="Verdana" w:cs="Verdana" w:eastAsia="Verdana" w:hAnsi="Verdana"/>
          <w:b w:val="1"/>
        </w:rPr>
      </w:pPr>
      <w:r w:rsidDel="00000000" w:rsidR="00000000" w:rsidRPr="00000000">
        <w:rPr>
          <w:rFonts w:ascii="Verdana" w:cs="Verdana" w:eastAsia="Verdana" w:hAnsi="Verdana"/>
          <w:b w:val="1"/>
          <w:rtl w:val="0"/>
        </w:rPr>
        <w:t xml:space="preserve">H. CONGRESO DEL ESTADO DE YUCATAN </w:t>
      </w:r>
    </w:p>
    <w:p w:rsidR="00000000" w:rsidDel="00000000" w:rsidP="00000000" w:rsidRDefault="00000000" w:rsidRPr="00000000" w14:paraId="00000003">
      <w:pPr>
        <w:spacing w:after="0" w:line="360" w:lineRule="auto"/>
        <w:rPr>
          <w:rFonts w:ascii="Verdana" w:cs="Verdana" w:eastAsia="Verdana" w:hAnsi="Verdana"/>
          <w:b w:val="1"/>
        </w:rPr>
      </w:pPr>
      <w:r w:rsidDel="00000000" w:rsidR="00000000" w:rsidRPr="00000000">
        <w:rPr>
          <w:rFonts w:ascii="Verdana" w:cs="Verdana" w:eastAsia="Verdana" w:hAnsi="Verdana"/>
          <w:b w:val="1"/>
          <w:rtl w:val="0"/>
        </w:rPr>
        <w:t xml:space="preserve">PRESENTE.</w:t>
      </w:r>
    </w:p>
    <w:p w:rsidR="00000000" w:rsidDel="00000000" w:rsidP="00000000" w:rsidRDefault="00000000" w:rsidRPr="00000000" w14:paraId="00000004">
      <w:pPr>
        <w:spacing w:after="0" w:line="360" w:lineRule="auto"/>
        <w:rPr>
          <w:rFonts w:ascii="Verdana" w:cs="Verdana" w:eastAsia="Verdana" w:hAnsi="Verdana"/>
        </w:rPr>
      </w:pPr>
      <w:r w:rsidDel="00000000" w:rsidR="00000000" w:rsidRPr="00000000">
        <w:rPr>
          <w:rtl w:val="0"/>
        </w:rPr>
      </w:r>
    </w:p>
    <w:p w:rsidR="00000000" w:rsidDel="00000000" w:rsidP="00000000" w:rsidRDefault="00000000" w:rsidRPr="00000000" w14:paraId="00000005">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El suscrito diputado Felipe Cervera Hernández, integrante de la Fracción Legislativa del Partido Revolucionario Institucional de la LXII Legislatura del Congreso del Estado, con fundamento en los artículos 35 fracción I de la Constitución Política; 16 y 22 fracción VI de la Ley de Gobierno del Poder Legislativo, ambos del Estado de Yucatán, someto a consideración de esta Honorable Asamblea la siguiente iniciativa con proyecto de Decreto por el que se modifica la Ley de Acceso de las Mujeres a una Vida Libre de Violencia del Estado de Yucatán, en materia de en materia de órdenes de protección de emergencia. Por lo cual me permito manifestar la siguiente:</w:t>
      </w:r>
    </w:p>
    <w:p w:rsidR="00000000" w:rsidDel="00000000" w:rsidP="00000000" w:rsidRDefault="00000000" w:rsidRPr="00000000" w14:paraId="00000006">
      <w:pPr>
        <w:spacing w:after="0" w:line="360" w:lineRule="auto"/>
        <w:jc w:val="both"/>
        <w:rPr>
          <w:rFonts w:ascii="Verdana" w:cs="Verdana" w:eastAsia="Verdana" w:hAnsi="Verdana"/>
        </w:rPr>
      </w:pPr>
      <w:r w:rsidDel="00000000" w:rsidR="00000000" w:rsidRPr="00000000">
        <w:rPr>
          <w:rtl w:val="0"/>
        </w:rPr>
      </w:r>
    </w:p>
    <w:bookmarkStart w:colFirst="0" w:colLast="0" w:name="30j0zll" w:id="1"/>
    <w:bookmarkEnd w:id="1"/>
    <w:p w:rsidR="00000000" w:rsidDel="00000000" w:rsidP="00000000" w:rsidRDefault="00000000" w:rsidRPr="00000000" w14:paraId="00000007">
      <w:pPr>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EXPOSICION DE MOTIVOS</w:t>
      </w:r>
    </w:p>
    <w:p w:rsidR="00000000" w:rsidDel="00000000" w:rsidP="00000000" w:rsidRDefault="00000000" w:rsidRPr="00000000" w14:paraId="00000008">
      <w:pPr>
        <w:spacing w:after="0" w:line="360"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09">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La función legislativa que desarrollamos se materializa esencialmente en el proceso de creación de Leyes, mismas que deber responder a la realidad social, es decir a los actos y conductas que efectivamente las personas realizan en el día a día, pero a la par conlleva la obligación de ajustar y adecuar el marco jurídico vigente para que éste evolucione del mismo modo que lo hace la sociedad incluso debiendo ser al mismo ritmo.</w:t>
      </w:r>
    </w:p>
    <w:p w:rsidR="00000000" w:rsidDel="00000000" w:rsidP="00000000" w:rsidRDefault="00000000" w:rsidRPr="00000000" w14:paraId="0000000A">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0B">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Para ello es que se requiere que las y los representantes populares mantengamos contacto con nuestros representados pero también nos obliga a estar pendientes de los avances en los acuerdos que en el plano nacional o internacional se van dando porque en muchas ocasiones de ellos se deprenden nuevos criterios o perspectivas novedosas que generan acciones o resoluciones de las distintas autoridades que ponen en evidencia la necesidad de crear nueva legislación o bien reformar las Leyes vigentes para adecuarlas a las nuevas realidades y a los criterios ya referidos.</w:t>
      </w:r>
    </w:p>
    <w:p w:rsidR="00000000" w:rsidDel="00000000" w:rsidP="00000000" w:rsidRDefault="00000000" w:rsidRPr="00000000" w14:paraId="0000000C">
      <w:pPr>
        <w:spacing w:after="0" w:line="360" w:lineRule="auto"/>
        <w:jc w:val="both"/>
        <w:rPr>
          <w:rFonts w:ascii="Verdana" w:cs="Verdana" w:eastAsia="Verdana" w:hAnsi="Verdana"/>
        </w:rPr>
      </w:pPr>
      <w:r w:rsidDel="00000000" w:rsidR="00000000" w:rsidRPr="00000000">
        <w:rPr>
          <w:rFonts w:ascii="Verdana" w:cs="Verdana" w:eastAsia="Verdana" w:hAnsi="Verdana"/>
          <w:rtl w:val="0"/>
        </w:rPr>
        <w:tab/>
        <w:t xml:space="preserve">En ese sentido, de conformidad con artículo primero de la Constitución Política de los Estados Unidos Mexicanos, que establece que “todas las personas gozarán de los derechos humanos reconocidos en la Constitución Política de los Estados Unidos Mexicanos y en los tratados internacionales de los que el Estado Mexicano sea parte, así como de las garantías para su protección, cuyo ejercicio no podrá restringirse ni suspenderse, salvo en los casos y bajo las condiciones que la propia constitución establece; asimismo, que las normas relativas a los derechos humanos se interpretarán de conformidad con la constitución y con los tratados internacionales de la materia </w:t>
      </w:r>
      <w:r w:rsidDel="00000000" w:rsidR="00000000" w:rsidRPr="00000000">
        <w:rPr>
          <w:rFonts w:ascii="Verdana" w:cs="Verdana" w:eastAsia="Verdana" w:hAnsi="Verdana"/>
          <w:b w:val="1"/>
          <w:rtl w:val="0"/>
        </w:rPr>
        <w:t xml:space="preserve">favoreciendo en todo</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tiempo a las personas la protección más amplia”, </w:t>
      </w:r>
      <w:r w:rsidDel="00000000" w:rsidR="00000000" w:rsidRPr="00000000">
        <w:rPr>
          <w:rFonts w:ascii="Verdana" w:cs="Verdana" w:eastAsia="Verdana" w:hAnsi="Verdana"/>
          <w:rtl w:val="0"/>
        </w:rPr>
        <w:t xml:space="preserve">tenemos que todas las autoridades, en el ámbito de sus competencias, tienen la </w:t>
      </w:r>
      <w:r w:rsidDel="00000000" w:rsidR="00000000" w:rsidRPr="00000000">
        <w:rPr>
          <w:rFonts w:ascii="Verdana" w:cs="Verdana" w:eastAsia="Verdana" w:hAnsi="Verdana"/>
          <w:b w:val="1"/>
          <w:rtl w:val="0"/>
        </w:rPr>
        <w:t xml:space="preserve">obligación </w:t>
      </w:r>
      <w:r w:rsidDel="00000000" w:rsidR="00000000" w:rsidRPr="00000000">
        <w:rPr>
          <w:rFonts w:ascii="Verdana" w:cs="Verdana" w:eastAsia="Verdana" w:hAnsi="Verdana"/>
          <w:rtl w:val="0"/>
        </w:rPr>
        <w:t xml:space="preserve">de promover, respetar, proteger y garantizar los derechos humanos de conformidad con los principios de universalidad, interdependencia, indivisibilidad y progresividad. Y, en consecuencia, el Estado deberá prevenir, investigar, sancionar y reparar las violaciones a los derechos humanos, en los términos que establezca la ley, tal y como lo ha resuelto mediante diversas tesis la primera sala de la Suprema Corte de Justicia de la Nación</w:t>
      </w:r>
    </w:p>
    <w:p w:rsidR="00000000" w:rsidDel="00000000" w:rsidP="00000000" w:rsidRDefault="00000000" w:rsidRPr="00000000" w14:paraId="0000000D">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0E">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Ahora bien, entrando al tema que motiva la presente Iniciativa, por lo que respecta al tema de mujeres es imperante destacar los instrumentos internacionales que protegen sus derechos humanos cobrando especial relevancia la Convención para Erradicar todo tipo de Discriminación contra la Mujeres, </w:t>
      </w:r>
      <w:r w:rsidDel="00000000" w:rsidR="00000000" w:rsidRPr="00000000">
        <w:rPr>
          <w:rFonts w:ascii="Verdana" w:cs="Verdana" w:eastAsia="Verdana" w:hAnsi="Verdana"/>
          <w:i w:val="1"/>
          <w:rtl w:val="0"/>
        </w:rPr>
        <w:t xml:space="preserve">“CEDAW”</w:t>
      </w:r>
      <w:r w:rsidDel="00000000" w:rsidR="00000000" w:rsidRPr="00000000">
        <w:rPr>
          <w:rFonts w:ascii="Verdana" w:cs="Verdana" w:eastAsia="Verdana" w:hAnsi="Verdana"/>
          <w:rtl w:val="0"/>
        </w:rPr>
        <w:t xml:space="preserve"> (por sus siglas en ingles) y la Convención Interamericana para Prevenir, Sancionar y Erradicar la Violencia contra la Mujer, conocida como </w:t>
      </w:r>
      <w:r w:rsidDel="00000000" w:rsidR="00000000" w:rsidRPr="00000000">
        <w:rPr>
          <w:rFonts w:ascii="Verdana" w:cs="Verdana" w:eastAsia="Verdana" w:hAnsi="Verdana"/>
          <w:i w:val="1"/>
          <w:rtl w:val="0"/>
        </w:rPr>
        <w:t xml:space="preserve">“Convención Belém do Pará”,</w:t>
      </w:r>
      <w:r w:rsidDel="00000000" w:rsidR="00000000" w:rsidRPr="00000000">
        <w:rPr>
          <w:rFonts w:ascii="Verdana" w:cs="Verdana" w:eastAsia="Verdana" w:hAnsi="Verdana"/>
          <w:rtl w:val="0"/>
        </w:rPr>
        <w:t xml:space="preserve"> en los que se determinó que la violencia contra la mujer es una ofensa a la dignidad humana y constituye una violación de los derechos humanos y las libertades fundamentales, que limita total o parcialmente su goce o ejercicio, ya que incluye actos que infligen daños o sufrimientos de índole física, mental o sexual, amenazas de cometer esos actos, coacción y otras formas de privación de la libertad. Por ello, en la Convención Interamericana para Prevenir, Sancionar y Erradicar la Violencia contra la Mujer </w:t>
      </w:r>
      <w:r w:rsidDel="00000000" w:rsidR="00000000" w:rsidRPr="00000000">
        <w:rPr>
          <w:rFonts w:ascii="Verdana" w:cs="Verdana" w:eastAsia="Verdana" w:hAnsi="Verdana"/>
          <w:i w:val="1"/>
          <w:rtl w:val="0"/>
        </w:rPr>
        <w:t xml:space="preserve">“Convención Belém do Pará”,</w:t>
      </w:r>
      <w:r w:rsidDel="00000000" w:rsidR="00000000" w:rsidRPr="00000000">
        <w:rPr>
          <w:rFonts w:ascii="Verdana" w:cs="Verdana" w:eastAsia="Verdana" w:hAnsi="Verdana"/>
          <w:rtl w:val="0"/>
        </w:rPr>
        <w:t xml:space="preserve"> se establece el derecho de todas las mujeres a una vida libre de violencia, tanto en el ámbito público como en el privado. Así, como la </w:t>
      </w:r>
      <w:r w:rsidDel="00000000" w:rsidR="00000000" w:rsidRPr="00000000">
        <w:rPr>
          <w:rFonts w:ascii="Verdana" w:cs="Verdana" w:eastAsia="Verdana" w:hAnsi="Verdana"/>
          <w:b w:val="1"/>
          <w:rtl w:val="0"/>
        </w:rPr>
        <w:t xml:space="preserve">implementación de medidas de carácter especial</w:t>
      </w:r>
      <w:r w:rsidDel="00000000" w:rsidR="00000000" w:rsidRPr="00000000">
        <w:rPr>
          <w:rFonts w:ascii="Verdana" w:cs="Verdana" w:eastAsia="Verdana" w:hAnsi="Verdana"/>
          <w:rtl w:val="0"/>
        </w:rPr>
        <w:t xml:space="preserve">, de tipo judicial, </w:t>
      </w:r>
      <w:r w:rsidDel="00000000" w:rsidR="00000000" w:rsidRPr="00000000">
        <w:rPr>
          <w:rFonts w:ascii="Verdana" w:cs="Verdana" w:eastAsia="Verdana" w:hAnsi="Verdana"/>
          <w:b w:val="1"/>
          <w:rtl w:val="0"/>
        </w:rPr>
        <w:t xml:space="preserve">para proteger a las mujeres de los actos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de violencia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ya que son éstas las que pueden</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significar el cese inmediato o la prevención de</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agresiones, que, en casos severos, garantizarán incluso la supervivencia de las mujeres que viven violencia</w:t>
      </w:r>
      <w:r w:rsidDel="00000000" w:rsidR="00000000" w:rsidRPr="00000000">
        <w:rPr>
          <w:rFonts w:ascii="Verdana" w:cs="Verdana" w:eastAsia="Verdana" w:hAnsi="Verdana"/>
          <w:rtl w:val="0"/>
        </w:rPr>
        <w:t xml:space="preserve">. </w:t>
      </w:r>
    </w:p>
    <w:p w:rsidR="00000000" w:rsidDel="00000000" w:rsidP="00000000" w:rsidRDefault="00000000" w:rsidRPr="00000000" w14:paraId="0000000F">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0">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El derecho de la mujer a una vida libre de discriminación y de violencia se traduce en la obligación de toda autoridad de actuar con perspectiva de género, el deber de investigar efectivamente tiene alcances adicionales y, por tanto, en los casos de violencia contra las mujeres, </w:t>
      </w:r>
      <w:r w:rsidDel="00000000" w:rsidR="00000000" w:rsidRPr="00000000">
        <w:rPr>
          <w:rFonts w:ascii="Verdana" w:cs="Verdana" w:eastAsia="Verdana" w:hAnsi="Verdana"/>
          <w:b w:val="1"/>
          <w:rtl w:val="0"/>
        </w:rPr>
        <w:t xml:space="preserve">las autoridades estatales deben adoptar</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medidas integrales para cumplir con la debida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diligencia</w:t>
      </w:r>
      <w:r w:rsidDel="00000000" w:rsidR="00000000" w:rsidRPr="00000000">
        <w:rPr>
          <w:rFonts w:ascii="Verdana" w:cs="Verdana" w:eastAsia="Verdana" w:hAnsi="Verdana"/>
          <w:rtl w:val="0"/>
        </w:rPr>
        <w:t xml:space="preserve">, entre las cuales se encuentran un adecuado marco jurídico de protección, una aplicación efectiva del mismo, así como políticas de prevención y prácticas para actuar </w:t>
      </w:r>
      <w:r w:rsidDel="00000000" w:rsidR="00000000" w:rsidRPr="00000000">
        <w:rPr>
          <w:rFonts w:ascii="Verdana" w:cs="Verdana" w:eastAsia="Verdana" w:hAnsi="Verdana"/>
          <w:b w:val="1"/>
          <w:rtl w:val="0"/>
        </w:rPr>
        <w:t xml:space="preserve">eficazmente </w:t>
      </w:r>
      <w:r w:rsidDel="00000000" w:rsidR="00000000" w:rsidRPr="00000000">
        <w:rPr>
          <w:rFonts w:ascii="Verdana" w:cs="Verdana" w:eastAsia="Verdana" w:hAnsi="Verdana"/>
          <w:rtl w:val="0"/>
        </w:rPr>
        <w:t xml:space="preserve">ante las denuncias. </w:t>
      </w:r>
    </w:p>
    <w:p w:rsidR="00000000" w:rsidDel="00000000" w:rsidP="00000000" w:rsidRDefault="00000000" w:rsidRPr="00000000" w14:paraId="00000011">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2">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Por lo tanto, nuestro  sistema de justicia por supuesto que debe ser capaz de reparar el daño realizado por parte de las autoridades y de impulsar un cambio cultural, pero en la medida de lo posible debe impedir que estas conductas se realicen y evitar que se continúe dañando sin la menor demora.</w:t>
      </w:r>
    </w:p>
    <w:p w:rsidR="00000000" w:rsidDel="00000000" w:rsidP="00000000" w:rsidRDefault="00000000" w:rsidRPr="00000000" w14:paraId="00000013">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14">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Es así, que el reconocimiento de los derechos de la mujer a una vida libre de violencia y discriminación y de acceso a la justicia en condiciones de igualdad exige que los órganos jurisdiccionales impartan justicia con perspectiva de género, que constituye un método que pretende detectar y eliminar todas las barreras y obstáculos que discriminan a las personas por condición de sexo o género, es decir, juzgar considerando las situaciones de desventaja que, por cuestiones de género, discriminan e impiden la igualdad. </w:t>
      </w:r>
    </w:p>
    <w:p w:rsidR="00000000" w:rsidDel="00000000" w:rsidP="00000000" w:rsidRDefault="00000000" w:rsidRPr="00000000" w14:paraId="00000015">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16">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Adicionalmente, se precisa que, en los casos de violencia contra la mujer, se impone al Estado la implementación de obligaciones reforzadas, conforme al artículo 7.b de la Convención Interamericana para Prevenir, Sancionar y Erradicar la Violencia contra la Mujer, "Convención de Belém do Pará", respecto a la debida diligencia para prevenir, investigar y sancionar tales afrentas contra las mujeres, con independencia de quienes lleven a cabo tales actos lesivos y con independencia del ámbito en que ocurran. </w:t>
      </w:r>
    </w:p>
    <w:p w:rsidR="00000000" w:rsidDel="00000000" w:rsidP="00000000" w:rsidRDefault="00000000" w:rsidRPr="00000000" w14:paraId="00000017">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18">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Anteponiendo el contexto anterior, sobre ese mismo tema en la Ley de Acceso de las Mujeres a una Vida Libre de Violencia del Estado de Yucatán, llama la atención lo establecido respecto de las </w:t>
      </w:r>
      <w:r w:rsidDel="00000000" w:rsidR="00000000" w:rsidRPr="00000000">
        <w:rPr>
          <w:rFonts w:ascii="Verdana" w:cs="Verdana" w:eastAsia="Verdana" w:hAnsi="Verdana"/>
          <w:b w:val="1"/>
          <w:rtl w:val="0"/>
        </w:rPr>
        <w:t xml:space="preserve">órdenes de protección</w:t>
      </w:r>
      <w:r w:rsidDel="00000000" w:rsidR="00000000" w:rsidRPr="00000000">
        <w:rPr>
          <w:rFonts w:ascii="Verdana" w:cs="Verdana" w:eastAsia="Verdana" w:hAnsi="Verdana"/>
          <w:rtl w:val="0"/>
        </w:rPr>
        <w:t xml:space="preserve">, las cuales se presentan como</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medidas personalísimas e intransferibles que tienen por objetivo prevenir, impedir o interrumpir los actos de violencia contra las mujeres establecidos en esa ley. </w:t>
      </w:r>
    </w:p>
    <w:p w:rsidR="00000000" w:rsidDel="00000000" w:rsidP="00000000" w:rsidRDefault="00000000" w:rsidRPr="00000000" w14:paraId="00000019">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1A">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En ese tenor, el artículo 51, fracción I, de la Ley de</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Acceso de las Mujeres a una Vida Libre de Violencia del</w:t>
      </w:r>
      <w:r w:rsidDel="00000000" w:rsidR="00000000" w:rsidRPr="00000000">
        <w:rPr>
          <w:rFonts w:ascii="Verdana" w:cs="Verdana" w:eastAsia="Verdana" w:hAnsi="Verdana"/>
          <w:b w:val="1"/>
          <w:rtl w:val="0"/>
        </w:rPr>
        <w:t xml:space="preserve"> </w:t>
      </w:r>
      <w:r w:rsidDel="00000000" w:rsidR="00000000" w:rsidRPr="00000000">
        <w:rPr>
          <w:rFonts w:ascii="Verdana" w:cs="Verdana" w:eastAsia="Verdana" w:hAnsi="Verdana"/>
          <w:rtl w:val="0"/>
        </w:rPr>
        <w:t xml:space="preserve">Estado de Yucatán, establece:</w:t>
      </w:r>
    </w:p>
    <w:p w:rsidR="00000000" w:rsidDel="00000000" w:rsidP="00000000" w:rsidRDefault="00000000" w:rsidRPr="00000000" w14:paraId="0000001B">
      <w:pPr>
        <w:spacing w:after="0" w:line="360" w:lineRule="auto"/>
        <w:jc w:val="both"/>
        <w:rPr>
          <w:rFonts w:ascii="Verdana" w:cs="Verdana" w:eastAsia="Verdana" w:hAnsi="Verdana"/>
          <w:i w:val="1"/>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Artículo 51. Órdenes de emergencia</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órdenes de emergencia son las órdenes de protección otorgadas por la autoridad jurisdiccional que, por la naturaleza de las condiciones de la víctima, se requieren expedir con urgencia.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Las órdenes de emergencia son independientes de cualquier tipo de proceso jurisdiccional y se sujetarán a lo siguiente: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649"/>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Las órdenes de emergencia tendrán una temporalidad </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no mayor de setenta y dos horas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y deberán expedirse dentro de las </w:t>
      </w:r>
      <w:r w:rsidDel="00000000" w:rsidR="00000000" w:rsidRPr="00000000">
        <w:rPr>
          <w:rFonts w:ascii="Verdana" w:cs="Verdana" w:eastAsia="Verdana" w:hAnsi="Verdana"/>
          <w:b w:val="1"/>
          <w:i w:val="0"/>
          <w:smallCaps w:val="0"/>
          <w:strike w:val="0"/>
          <w:color w:val="000000"/>
          <w:sz w:val="20"/>
          <w:szCs w:val="20"/>
          <w:u w:val="single"/>
          <w:shd w:fill="auto" w:val="clear"/>
          <w:vertAlign w:val="baseline"/>
          <w:rtl w:val="0"/>
        </w:rPr>
        <w:t xml:space="preserve">ocho horas</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siguientes al conocimiento de los hechos que las generan.</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649"/>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649"/>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II. Las órdenes de emergencia podrán prorrogarse por la autoridad jurisdiccional, cuando la víctima, su representante legal o el Ministerio Público soliciten una orden de protección cautelar o definitiva, y hasta en tanto no se determinen éstas.</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61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646"/>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Del citado precepto advertimos que las órdenes de emergencia son la manera como se protege a una mujer víctima de violencia para que se detenga la situación que la generó y se resguarde a la víctima hasta que hayan condiciones que garanticen su integridad sin riesgo.</w:t>
      </w:r>
    </w:p>
    <w:p w:rsidR="00000000" w:rsidDel="00000000" w:rsidP="00000000" w:rsidRDefault="00000000" w:rsidRPr="00000000" w14:paraId="00000028">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29">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Sin embargo, la disposiciones del artículo referido se contemplan como contrarios a todos los principios que previamente hemos señalado, vulnerando con ello los artículos constitucionales 1, 14 y 22, los cuales contemplan los derechos a la protección de los derechos en condiciones de igualdad, a la integridad física y a la vida. Ya que establecer una vigencia máxima de setenta y dos horas a las órdenes de emergencia que se dicten a favor de una mujer, no se considera si los actos, conductas o situaciones generadores de violencia se mantienen o no, por ello los criterios actuales de las autoridades judiciales promueven que este tipo de medidas se otorguen hasta que cese la causa que dio origen a la agresión sufrida por la víctima.</w:t>
      </w:r>
    </w:p>
    <w:p w:rsidR="00000000" w:rsidDel="00000000" w:rsidP="00000000" w:rsidRDefault="00000000" w:rsidRPr="00000000" w14:paraId="0000002A">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2B">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Esto en razón de que el plazo de setenta y dos horas no resulta eficaz para proteger su vida e integridad, porque se trata de una temporalidad fijada por ley que no se encuentra definida en función de su situación de riesgo, ya que las órdenes de protección previstas en la ley de que se trata son medidas jurídicas cuyo propósito primordial es proteger a las mujeres de actos de violencia y generar una intervención para detener y prevenir la violencia mientras la situación de riesgo o peligro persista. </w:t>
      </w:r>
    </w:p>
    <w:p w:rsidR="00000000" w:rsidDel="00000000" w:rsidP="00000000" w:rsidRDefault="00000000" w:rsidRPr="00000000" w14:paraId="0000002C">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2D">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En tal sentido, la temporalidad que se maneja en la ley estatal de las órdenes de emergencia, no es acorde con los principios ni con la obligación reforzada de proteger los derechos a la vida y a la integridad personal de una mujer, ya que, si bien se prevé una prórroga, para poder acceder a ella es a través de un mecanismo que no se presenta ni sencillo y ni eficaz.</w:t>
      </w:r>
    </w:p>
    <w:p w:rsidR="00000000" w:rsidDel="00000000" w:rsidP="00000000" w:rsidRDefault="00000000" w:rsidRPr="00000000" w14:paraId="0000002E">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2F">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Por ello bajo el sustento de lo que señala la Constitución Política de los Estados Unidos Mexicanos y los tratados internacionales de la materia, favoreciendo en todo tiempo a las personas la </w:t>
      </w:r>
      <w:r w:rsidDel="00000000" w:rsidR="00000000" w:rsidRPr="00000000">
        <w:rPr>
          <w:rFonts w:ascii="Verdana" w:cs="Verdana" w:eastAsia="Verdana" w:hAnsi="Verdana"/>
          <w:b w:val="1"/>
          <w:rtl w:val="0"/>
        </w:rPr>
        <w:t xml:space="preserve">protección más amplia</w:t>
      </w:r>
      <w:r w:rsidDel="00000000" w:rsidR="00000000" w:rsidRPr="00000000">
        <w:rPr>
          <w:rFonts w:ascii="Verdana" w:cs="Verdana" w:eastAsia="Verdana" w:hAnsi="Verdana"/>
          <w:rtl w:val="0"/>
        </w:rPr>
        <w:t xml:space="preserve">, así como la recomendación realizada por la Convención para Erradicar todo tipo de Discriminación contra la Mujeres, “CEDAW”, a México en el dos mil doce, para </w:t>
      </w:r>
      <w:r w:rsidDel="00000000" w:rsidR="00000000" w:rsidRPr="00000000">
        <w:rPr>
          <w:rFonts w:ascii="Verdana" w:cs="Verdana" w:eastAsia="Verdana" w:hAnsi="Verdana"/>
          <w:b w:val="1"/>
          <w:rtl w:val="0"/>
        </w:rPr>
        <w:t xml:space="preserve">mantener la duración de las</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órdenes de protección hasta que la víctima de la</w:t>
      </w:r>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rtl w:val="0"/>
        </w:rPr>
        <w:t xml:space="preserve">violencia deje de estar expuesta al riesgo </w:t>
      </w:r>
      <w:r w:rsidDel="00000000" w:rsidR="00000000" w:rsidRPr="00000000">
        <w:rPr>
          <w:rFonts w:ascii="Verdana" w:cs="Verdana" w:eastAsia="Verdana" w:hAnsi="Verdana"/>
          <w:rtl w:val="0"/>
        </w:rPr>
        <w:t xml:space="preserve">es que propongo a esta soberanía modificar la Ley de Acceso de las Mujeres a una Vida Libre de Violencia del Estado de Yucatán, en sus fracciones I y II del artículo 51, para efecto de reformar la temporalidad prevista de setenta y dos horas para una orden de protección de emergencia, incrementar dicha temporalidad a 60 días; así como disminuir de 8 a 4 horas siguientes de haberse realizado la solicitud para que se dicten tales medidas de protección.</w:t>
      </w:r>
    </w:p>
    <w:p w:rsidR="00000000" w:rsidDel="00000000" w:rsidP="00000000" w:rsidRDefault="00000000" w:rsidRPr="00000000" w14:paraId="00000030">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31">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De igual modo se propone que dichas órdenes de emergencia podrán prorrogarse por la autoridad jurisdiccional, hasta por 30 días más o por el tiempo que dure la investigación o prolongarse hasta que cese la situación de riesgo para la víctima, o cuando la víctima, su representante legal o el Ministerio Público soliciten una orden de protección cautelar o definitiva, y hasta en tanto no se determinen éstas.</w:t>
      </w:r>
    </w:p>
    <w:p w:rsidR="00000000" w:rsidDel="00000000" w:rsidP="00000000" w:rsidRDefault="00000000" w:rsidRPr="00000000" w14:paraId="00000032">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33">
      <w:pPr>
        <w:spacing w:after="0" w:line="360" w:lineRule="auto"/>
        <w:ind w:firstLine="646"/>
        <w:jc w:val="both"/>
        <w:rPr>
          <w:rFonts w:ascii="Verdana" w:cs="Verdana" w:eastAsia="Verdana" w:hAnsi="Verdana"/>
        </w:rPr>
      </w:pPr>
      <w:r w:rsidDel="00000000" w:rsidR="00000000" w:rsidRPr="00000000">
        <w:rPr>
          <w:rFonts w:ascii="Verdana" w:cs="Verdana" w:eastAsia="Verdana" w:hAnsi="Verdana"/>
          <w:rtl w:val="0"/>
        </w:rPr>
        <w:t xml:space="preserve">No omito manifestar, que de considerarse impactar tales reformas a la ley local, estaríamos homologando sus disposiciones a las previstas en la Ley General de Acceso de las Mujeres a una Vida Libre de Violencia, las cuales fueron publicadas en el Diario Oficial de la Federación el pasado 18 de marzo de 2021.</w:t>
      </w:r>
    </w:p>
    <w:p w:rsidR="00000000" w:rsidDel="00000000" w:rsidP="00000000" w:rsidRDefault="00000000" w:rsidRPr="00000000" w14:paraId="00000034">
      <w:pPr>
        <w:spacing w:after="0" w:line="360" w:lineRule="auto"/>
        <w:ind w:firstLine="646"/>
        <w:jc w:val="both"/>
        <w:rPr>
          <w:rFonts w:ascii="Verdana" w:cs="Verdana" w:eastAsia="Verdana" w:hAnsi="Verdana"/>
        </w:rPr>
      </w:pPr>
      <w:r w:rsidDel="00000000" w:rsidR="00000000" w:rsidRPr="00000000">
        <w:rPr>
          <w:rtl w:val="0"/>
        </w:rPr>
      </w:r>
    </w:p>
    <w:p w:rsidR="00000000" w:rsidDel="00000000" w:rsidP="00000000" w:rsidRDefault="00000000" w:rsidRPr="00000000" w14:paraId="00000035">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Por las razones expuestas, presento ante este H. Pleno del Congreso del Estado, el siguiente:</w:t>
      </w:r>
    </w:p>
    <w:p w:rsidR="00000000" w:rsidDel="00000000" w:rsidP="00000000" w:rsidRDefault="00000000" w:rsidRPr="00000000" w14:paraId="00000036">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37">
      <w:pPr>
        <w:spacing w:after="0" w:line="360" w:lineRule="auto"/>
        <w:ind w:firstLine="709"/>
        <w:jc w:val="center"/>
        <w:rPr>
          <w:rFonts w:ascii="Verdana" w:cs="Verdana" w:eastAsia="Verdana" w:hAnsi="Verdana"/>
          <w:b w:val="1"/>
        </w:rPr>
      </w:pPr>
      <w:bookmarkStart w:colFirst="0" w:colLast="0" w:name="_1fob9te" w:id="2"/>
      <w:bookmarkEnd w:id="2"/>
      <w:r w:rsidDel="00000000" w:rsidR="00000000" w:rsidRPr="00000000">
        <w:rPr>
          <w:rFonts w:ascii="Verdana" w:cs="Verdana" w:eastAsia="Verdana" w:hAnsi="Verdana"/>
          <w:b w:val="1"/>
          <w:rtl w:val="0"/>
        </w:rPr>
        <w:t xml:space="preserve">Decreto</w:t>
      </w:r>
    </w:p>
    <w:p w:rsidR="00000000" w:rsidDel="00000000" w:rsidP="00000000" w:rsidRDefault="00000000" w:rsidRPr="00000000" w14:paraId="00000038">
      <w:pPr>
        <w:spacing w:after="0" w:line="360" w:lineRule="auto"/>
        <w:ind w:firstLine="709"/>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39">
      <w:pPr>
        <w:spacing w:after="0" w:line="360" w:lineRule="auto"/>
        <w:ind w:firstLine="709"/>
        <w:jc w:val="both"/>
        <w:rPr>
          <w:rFonts w:ascii="Verdana" w:cs="Verdana" w:eastAsia="Verdana" w:hAnsi="Verdana"/>
          <w:b w:val="1"/>
        </w:rPr>
      </w:pPr>
      <w:r w:rsidDel="00000000" w:rsidR="00000000" w:rsidRPr="00000000">
        <w:rPr>
          <w:rFonts w:ascii="Verdana" w:cs="Verdana" w:eastAsia="Verdana" w:hAnsi="Verdana"/>
          <w:b w:val="1"/>
          <w:rtl w:val="0"/>
        </w:rPr>
        <w:t xml:space="preserve">Por el que se modifica la Ley de Acceso de las Mujeres a una Vida Libre de Violencia del Estado de Yucatán, en materia de órdenes de protección de emergencia.</w:t>
      </w:r>
    </w:p>
    <w:p w:rsidR="00000000" w:rsidDel="00000000" w:rsidP="00000000" w:rsidRDefault="00000000" w:rsidRPr="00000000" w14:paraId="0000003A">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3B">
      <w:pPr>
        <w:spacing w:after="0" w:line="360" w:lineRule="auto"/>
        <w:ind w:firstLine="708"/>
        <w:jc w:val="both"/>
        <w:rPr>
          <w:rFonts w:ascii="Verdana" w:cs="Verdana" w:eastAsia="Verdana" w:hAnsi="Verdana"/>
        </w:rPr>
      </w:pPr>
      <w:r w:rsidDel="00000000" w:rsidR="00000000" w:rsidRPr="00000000">
        <w:rPr>
          <w:rFonts w:ascii="Verdana" w:cs="Verdana" w:eastAsia="Verdana" w:hAnsi="Verdana"/>
          <w:b w:val="1"/>
          <w:rtl w:val="0"/>
        </w:rPr>
        <w:t xml:space="preserve">Artículo único.</w:t>
      </w:r>
      <w:r w:rsidDel="00000000" w:rsidR="00000000" w:rsidRPr="00000000">
        <w:rPr>
          <w:rFonts w:ascii="Verdana" w:cs="Verdana" w:eastAsia="Verdana" w:hAnsi="Verdana"/>
          <w:rtl w:val="0"/>
        </w:rPr>
        <w:t xml:space="preserve"> Se reforman las fracciones II y III del artículo 51 de la Ley de Acceso de las Mujeres a una Vida Libre de Violencia del Estado de Yucatán, para quedar como sigue:</w:t>
      </w:r>
    </w:p>
    <w:p w:rsidR="00000000" w:rsidDel="00000000" w:rsidP="00000000" w:rsidRDefault="00000000" w:rsidRPr="00000000" w14:paraId="0000003C">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3D">
      <w:pPr>
        <w:spacing w:after="0" w:line="360"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Artículo 51. Órdenes de emergencia </w:t>
      </w:r>
    </w:p>
    <w:p w:rsidR="00000000" w:rsidDel="00000000" w:rsidP="00000000" w:rsidRDefault="00000000" w:rsidRPr="00000000" w14:paraId="0000003E">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3F">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40">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1">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w:t>
      </w:r>
    </w:p>
    <w:p w:rsidR="00000000" w:rsidDel="00000000" w:rsidP="00000000" w:rsidRDefault="00000000" w:rsidRPr="00000000" w14:paraId="00000042">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3">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I. Las órdenes de emergencia tendrán una temporalidad de hasta 60 días, y deberán expedirse dentro de las cuatro horas siguientes al conocimiento de los hechos que las generan.</w:t>
      </w:r>
    </w:p>
    <w:p w:rsidR="00000000" w:rsidDel="00000000" w:rsidP="00000000" w:rsidRDefault="00000000" w:rsidRPr="00000000" w14:paraId="00000044">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5">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II. Las órdenes de emergencia podrán prorrogarse por la autoridad jurisdiccional, hasta por 30 días más o por el tiempo que dure la investigación o prolongarse hasta que cese la situación de riesgo para la víctima, o cuando la víctima, su representante legal o el Ministerio Público soliciten una orden de protección cautelar o definitiva, y hasta en tanto no se determinen éstas.</w:t>
      </w:r>
    </w:p>
    <w:p w:rsidR="00000000" w:rsidDel="00000000" w:rsidP="00000000" w:rsidRDefault="00000000" w:rsidRPr="00000000" w14:paraId="00000046">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7">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De la III a la VII. …</w:t>
      </w:r>
    </w:p>
    <w:p w:rsidR="00000000" w:rsidDel="00000000" w:rsidP="00000000" w:rsidRDefault="00000000" w:rsidRPr="00000000" w14:paraId="00000048">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9">
      <w:pPr>
        <w:spacing w:after="0" w:line="360" w:lineRule="auto"/>
        <w:ind w:firstLine="708"/>
        <w:jc w:val="center"/>
        <w:rPr>
          <w:rFonts w:ascii="Verdana" w:cs="Verdana" w:eastAsia="Verdana" w:hAnsi="Verdana"/>
          <w:b w:val="1"/>
        </w:rPr>
      </w:pPr>
      <w:r w:rsidDel="00000000" w:rsidR="00000000" w:rsidRPr="00000000">
        <w:rPr>
          <w:rFonts w:ascii="Verdana" w:cs="Verdana" w:eastAsia="Verdana" w:hAnsi="Verdana"/>
          <w:b w:val="1"/>
          <w:rtl w:val="0"/>
        </w:rPr>
        <w:t xml:space="preserve">Transitorios</w:t>
      </w:r>
    </w:p>
    <w:p w:rsidR="00000000" w:rsidDel="00000000" w:rsidP="00000000" w:rsidRDefault="00000000" w:rsidRPr="00000000" w14:paraId="0000004A">
      <w:pPr>
        <w:spacing w:after="0" w:line="360" w:lineRule="auto"/>
        <w:ind w:firstLine="708"/>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4B">
      <w:pPr>
        <w:spacing w:after="0" w:line="360"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Entrada en vigor</w:t>
      </w:r>
    </w:p>
    <w:p w:rsidR="00000000" w:rsidDel="00000000" w:rsidP="00000000" w:rsidRDefault="00000000" w:rsidRPr="00000000" w14:paraId="0000004C">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Artículo primero. Este decreto entrará en vigor al día siguiente al de su publicación en el Diario Oficial del Gobierno del Estado de Yucatán.</w:t>
      </w:r>
    </w:p>
    <w:p w:rsidR="00000000" w:rsidDel="00000000" w:rsidP="00000000" w:rsidRDefault="00000000" w:rsidRPr="00000000" w14:paraId="0000004D">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4E">
      <w:pPr>
        <w:spacing w:after="0" w:line="360" w:lineRule="auto"/>
        <w:ind w:firstLine="708"/>
        <w:jc w:val="both"/>
        <w:rPr>
          <w:rFonts w:ascii="Verdana" w:cs="Verdana" w:eastAsia="Verdana" w:hAnsi="Verdana"/>
          <w:b w:val="1"/>
        </w:rPr>
      </w:pPr>
      <w:r w:rsidDel="00000000" w:rsidR="00000000" w:rsidRPr="00000000">
        <w:rPr>
          <w:rFonts w:ascii="Verdana" w:cs="Verdana" w:eastAsia="Verdana" w:hAnsi="Verdana"/>
          <w:b w:val="1"/>
          <w:rtl w:val="0"/>
        </w:rPr>
        <w:t xml:space="preserve">Derogación</w:t>
      </w:r>
    </w:p>
    <w:p w:rsidR="00000000" w:rsidDel="00000000" w:rsidP="00000000" w:rsidRDefault="00000000" w:rsidRPr="00000000" w14:paraId="0000004F">
      <w:pPr>
        <w:spacing w:after="0" w:line="360" w:lineRule="auto"/>
        <w:ind w:firstLine="708"/>
        <w:jc w:val="both"/>
        <w:rPr>
          <w:rFonts w:ascii="Verdana" w:cs="Verdana" w:eastAsia="Verdana" w:hAnsi="Verdana"/>
        </w:rPr>
      </w:pPr>
      <w:r w:rsidDel="00000000" w:rsidR="00000000" w:rsidRPr="00000000">
        <w:rPr>
          <w:rFonts w:ascii="Verdana" w:cs="Verdana" w:eastAsia="Verdana" w:hAnsi="Verdana"/>
          <w:b w:val="1"/>
          <w:rtl w:val="0"/>
        </w:rPr>
        <w:t xml:space="preserve">Artículo segundo.</w:t>
      </w:r>
      <w:r w:rsidDel="00000000" w:rsidR="00000000" w:rsidRPr="00000000">
        <w:rPr>
          <w:rFonts w:ascii="Verdana" w:cs="Verdana" w:eastAsia="Verdana" w:hAnsi="Verdana"/>
          <w:rtl w:val="0"/>
        </w:rPr>
        <w:t xml:space="preserve"> Se derogan todas aquellas disposiciones que se opongan a lo previsto en este decreto.</w:t>
      </w:r>
    </w:p>
    <w:p w:rsidR="00000000" w:rsidDel="00000000" w:rsidP="00000000" w:rsidRDefault="00000000" w:rsidRPr="00000000" w14:paraId="00000050">
      <w:pPr>
        <w:spacing w:after="0" w:line="360" w:lineRule="auto"/>
        <w:jc w:val="both"/>
        <w:rPr>
          <w:rFonts w:ascii="Verdana" w:cs="Verdana" w:eastAsia="Verdana" w:hAnsi="Verdana"/>
        </w:rPr>
      </w:pPr>
      <w:r w:rsidDel="00000000" w:rsidR="00000000" w:rsidRPr="00000000">
        <w:rPr>
          <w:rtl w:val="0"/>
        </w:rPr>
      </w:r>
    </w:p>
    <w:p w:rsidR="00000000" w:rsidDel="00000000" w:rsidP="00000000" w:rsidRDefault="00000000" w:rsidRPr="00000000" w14:paraId="00000051">
      <w:pPr>
        <w:spacing w:after="0" w:line="360" w:lineRule="auto"/>
        <w:ind w:firstLine="708"/>
        <w:jc w:val="both"/>
        <w:rPr>
          <w:rFonts w:ascii="Verdana" w:cs="Verdana" w:eastAsia="Verdana" w:hAnsi="Verdana"/>
        </w:rPr>
      </w:pPr>
      <w:r w:rsidDel="00000000" w:rsidR="00000000" w:rsidRPr="00000000">
        <w:rPr>
          <w:rFonts w:ascii="Verdana" w:cs="Verdana" w:eastAsia="Verdana" w:hAnsi="Verdana"/>
          <w:rtl w:val="0"/>
        </w:rPr>
        <w:t xml:space="preserve">Protesto lo necesario en la ciudad de Mérida, Yucatán a los 15 días del mes de abril del año 2021.</w:t>
      </w:r>
    </w:p>
    <w:p w:rsidR="00000000" w:rsidDel="00000000" w:rsidP="00000000" w:rsidRDefault="00000000" w:rsidRPr="00000000" w14:paraId="00000052">
      <w:pPr>
        <w:spacing w:after="0" w:line="360" w:lineRule="auto"/>
        <w:ind w:firstLine="708"/>
        <w:jc w:val="both"/>
        <w:rPr>
          <w:rFonts w:ascii="Verdana" w:cs="Verdana" w:eastAsia="Verdana" w:hAnsi="Verdana"/>
        </w:rPr>
      </w:pPr>
      <w:r w:rsidDel="00000000" w:rsidR="00000000" w:rsidRPr="00000000">
        <w:rPr>
          <w:rtl w:val="0"/>
        </w:rPr>
      </w:r>
    </w:p>
    <w:p w:rsidR="00000000" w:rsidDel="00000000" w:rsidP="00000000" w:rsidRDefault="00000000" w:rsidRPr="00000000" w14:paraId="00000053">
      <w:pPr>
        <w:spacing w:after="0" w:line="36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ATENTAMENTE</w:t>
      </w:r>
    </w:p>
    <w:p w:rsidR="00000000" w:rsidDel="00000000" w:rsidP="00000000" w:rsidRDefault="00000000" w:rsidRPr="00000000" w14:paraId="00000054">
      <w:pPr>
        <w:spacing w:after="0" w:line="360" w:lineRule="auto"/>
        <w:jc w:val="center"/>
        <w:rPr>
          <w:rFonts w:ascii="Verdana" w:cs="Verdana" w:eastAsia="Verdana" w:hAnsi="Verdana"/>
          <w:b w:val="1"/>
        </w:rPr>
      </w:pPr>
      <w:r w:rsidDel="00000000" w:rsidR="00000000" w:rsidRPr="00000000">
        <w:rPr>
          <w:rtl w:val="0"/>
        </w:rPr>
      </w:r>
    </w:p>
    <w:p w:rsidR="00000000" w:rsidDel="00000000" w:rsidP="00000000" w:rsidRDefault="00000000" w:rsidRPr="00000000" w14:paraId="00000055">
      <w:pPr>
        <w:spacing w:after="0" w:line="360" w:lineRule="auto"/>
        <w:ind w:left="708"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Dip. Felipe Cervera Hernández</w:t>
      </w:r>
    </w:p>
    <w:p w:rsidR="00000000" w:rsidDel="00000000" w:rsidP="00000000" w:rsidRDefault="00000000" w:rsidRPr="00000000" w14:paraId="00000056">
      <w:pPr>
        <w:spacing w:after="0" w:line="360" w:lineRule="auto"/>
        <w:ind w:left="708" w:firstLine="0"/>
        <w:jc w:val="center"/>
        <w:rPr>
          <w:rFonts w:ascii="Verdana" w:cs="Verdana" w:eastAsia="Verdana" w:hAnsi="Verdana"/>
        </w:rPr>
      </w:pPr>
      <w:r w:rsidDel="00000000" w:rsidR="00000000" w:rsidRPr="00000000">
        <w:rPr>
          <w:rFonts w:ascii="Verdana" w:cs="Verdana" w:eastAsia="Verdana" w:hAnsi="Verdana"/>
          <w:rtl w:val="0"/>
        </w:rPr>
        <w:t xml:space="preserve">Diputado integrante de la Fracción Legislativa del Partido Revolucionario Institucional </w:t>
      </w:r>
    </w:p>
    <w:p w:rsidR="00000000" w:rsidDel="00000000" w:rsidP="00000000" w:rsidRDefault="00000000" w:rsidRPr="00000000" w14:paraId="00000057">
      <w:pPr>
        <w:spacing w:after="0" w:line="360" w:lineRule="auto"/>
        <w:ind w:left="708" w:firstLine="0"/>
        <w:jc w:val="center"/>
        <w:rPr>
          <w:rFonts w:ascii="Verdana" w:cs="Verdana" w:eastAsia="Verdana" w:hAnsi="Verdana"/>
        </w:rPr>
      </w:pPr>
      <w:r w:rsidDel="00000000" w:rsidR="00000000" w:rsidRPr="00000000">
        <w:rPr>
          <w:rFonts w:ascii="Verdana" w:cs="Verdana" w:eastAsia="Verdana" w:hAnsi="Verdana"/>
          <w:rtl w:val="0"/>
        </w:rPr>
        <w:t xml:space="preserve">de la LXII Legislatura del Congreso del Estado.</w:t>
      </w:r>
    </w:p>
    <w:p w:rsidR="00000000" w:rsidDel="00000000" w:rsidP="00000000" w:rsidRDefault="00000000" w:rsidRPr="00000000" w14:paraId="00000058">
      <w:pPr>
        <w:spacing w:after="0" w:line="360" w:lineRule="auto"/>
        <w:ind w:left="708" w:firstLine="0"/>
        <w:jc w:val="center"/>
        <w:rPr>
          <w:rFonts w:ascii="Verdana" w:cs="Verdana" w:eastAsia="Verdana" w:hAnsi="Verdana"/>
          <w:b w:val="1"/>
        </w:rPr>
      </w:pPr>
      <w:r w:rsidDel="00000000" w:rsidR="00000000" w:rsidRPr="00000000">
        <w:rPr>
          <w:rFonts w:ascii="Verdana" w:cs="Verdana" w:eastAsia="Verdana" w:hAnsi="Verdana"/>
          <w:b w:val="1"/>
          <w:rtl w:val="0"/>
        </w:rPr>
        <w:t xml:space="preserve"> </w:t>
      </w:r>
    </w:p>
    <w:p w:rsidR="00000000" w:rsidDel="00000000" w:rsidP="00000000" w:rsidRDefault="00000000" w:rsidRPr="00000000" w14:paraId="00000059">
      <w:pPr>
        <w:spacing w:after="0" w:line="360" w:lineRule="auto"/>
        <w:ind w:right="49"/>
        <w:jc w:val="both"/>
        <w:rPr>
          <w:rFonts w:ascii="Verdana" w:cs="Verdana" w:eastAsia="Verdana" w:hAnsi="Verdana"/>
        </w:rPr>
      </w:pPr>
      <w:r w:rsidDel="00000000" w:rsidR="00000000" w:rsidRPr="00000000">
        <w:rPr>
          <w:rFonts w:ascii="Verdana" w:cs="Verdana" w:eastAsia="Verdana" w:hAnsi="Verdana"/>
          <w:rtl w:val="0"/>
        </w:rPr>
        <w:t xml:space="preserve">Esta hoja de firma, pertenece a la iniciativa que propone modificar la Ley de Acceso a las Mujeres a una Vida Libre de Violencia del Estado de Yucatán, en materia de órdenes de protección de emergencia.</w:t>
      </w:r>
    </w:p>
    <w:sectPr>
      <w:footerReference r:id="rId6"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Página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w:t>
    </w:r>
    <w:r w:rsidDel="00000000" w:rsidR="00000000" w:rsidRPr="00000000">
      <w:rPr>
        <w:rFonts w:ascii="Arial" w:cs="Arial" w:eastAsia="Arial" w:hAnsi="Arial"/>
        <w:b w:val="1"/>
        <w:i w:val="0"/>
        <w:smallCaps w:val="0"/>
        <w:strike w:val="0"/>
        <w:color w:val="000000"/>
        <w:sz w:val="18"/>
        <w:szCs w:val="18"/>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